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8A" w:rsidRDefault="0083508A" w:rsidP="0083508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 el ejercicio 2017 no se h</w:t>
      </w:r>
      <w:r w:rsidR="00D667D6">
        <w:rPr>
          <w:rFonts w:ascii="Arial Narrow" w:hAnsi="Arial Narrow"/>
          <w:sz w:val="28"/>
          <w:szCs w:val="28"/>
        </w:rPr>
        <w:t>a realizado Informe de Rectoría, ya que el mismo es anual y corresponde realizarlo en el mes de octubre que es cuando se cumple el primer aniversario del nombramiento del Rector.</w:t>
      </w:r>
    </w:p>
    <w:p w:rsidR="00FB39A5" w:rsidRDefault="00FB39A5" w:rsidP="00FB39A5">
      <w:pPr>
        <w:jc w:val="both"/>
      </w:pPr>
    </w:p>
    <w:sectPr w:rsidR="00FB39A5" w:rsidSect="002A0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B39A5"/>
    <w:rsid w:val="002A04CD"/>
    <w:rsid w:val="0083508A"/>
    <w:rsid w:val="00A3081E"/>
    <w:rsid w:val="00D667D6"/>
    <w:rsid w:val="00FB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2017-08-31T19:57:00Z</dcterms:created>
  <dcterms:modified xsi:type="dcterms:W3CDTF">2017-08-31T20:25:00Z</dcterms:modified>
</cp:coreProperties>
</file>